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6D575033" w14:paraId="283FBA4D" wp14:textId="50499F68">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7. Do you agree with the proposal that FIP would identify optimal charging zones, which is aggregation of potential charger locations, versus specific charging sites? Under what conditions would FIP identify a specific charging site (e.g., very large DCFC station)? Please provide alternative proposals or definitions if needed. </w:t>
      </w:r>
    </w:p>
    <w:p xmlns:wp14="http://schemas.microsoft.com/office/word/2010/wordml" w14:paraId="1EC7A2FB" wp14:textId="3590D74E">
      <w:r w:rsidRPr="6D575033" w:rsidR="3111BC14">
        <w:rPr>
          <w:rFonts w:ascii="Calibri" w:hAnsi="Calibri" w:eastAsia="Calibri" w:cs="Calibri"/>
          <w:noProof w:val="0"/>
          <w:sz w:val="22"/>
          <w:szCs w:val="22"/>
          <w:lang w:val="en-US"/>
        </w:rPr>
        <w:t xml:space="preserve">Identifying optimal charging zones is an appropriate strategy and should be coordinated with other agencies such as Caltrans and metropolitan planning organizations that plan and coordinate regional transportation and land use. Identifying specific charging sites could be appropriate for publicly owned sites or sites that receive public grant funding through competitive processes. These sites that offer retail charging accessible to the public will be essential to the small and owner-operator trucking businesses that comprise a majority of transportation businesses and are unlikely to have access to off-street, depot-based charging infrastructure. We recommend that the FIP specifically consider publicly owned sites that meet certain siting criteria. SANDAG is developing siting criteria that can be considered for locations appropriate for charging infrastructure through its </w:t>
      </w:r>
      <w:hyperlink r:id="Rb75282ab674b4455">
        <w:r w:rsidRPr="6D575033" w:rsidR="3111BC14">
          <w:rPr>
            <w:rStyle w:val="Hyperlink"/>
            <w:rFonts w:ascii="Calibri" w:hAnsi="Calibri" w:eastAsia="Calibri" w:cs="Calibri"/>
            <w:strike w:val="0"/>
            <w:dstrike w:val="0"/>
            <w:noProof w:val="0"/>
            <w:sz w:val="22"/>
            <w:szCs w:val="22"/>
            <w:lang w:val="en-US"/>
          </w:rPr>
          <w:t>San Diego Regional Medium- and Heavy-Duty Zero-Emission Vehicle Blueprint</w:t>
        </w:r>
      </w:hyperlink>
      <w:r w:rsidRPr="6D575033" w:rsidR="3111BC14">
        <w:rPr>
          <w:rFonts w:ascii="Calibri" w:hAnsi="Calibri" w:eastAsia="Calibri" w:cs="Calibri"/>
          <w:noProof w:val="0"/>
          <w:sz w:val="22"/>
          <w:szCs w:val="22"/>
          <w:lang w:val="en-US"/>
        </w:rPr>
        <w:t>, and it would be prudent for all California public agencies to examine their real estate holdings for applicability. For locations not specifically identified as being suitable for charging infrastructure based on public land ownership and meeting siting criteria, we recommend that relatively broad zones be created avoid either land speculation or potential conflicts with local jurisdictions regarding land use controls.</w:t>
      </w:r>
    </w:p>
    <w:p xmlns:wp14="http://schemas.microsoft.com/office/word/2010/wordml" w:rsidP="6D575033" w14:paraId="60837FE3" wp14:textId="0E2A6917">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8. To what extent do load serving entities (e.g., IOUs and POUs) need to coordinate on electrifying their respective corridor segments, which are adjoining? Is there a need for a statewide plan for coordinating MDHD electrification across LSEs? Your response should address the fact that the CPUC doesn’t have jurisdiction over the POUs. </w:t>
      </w:r>
    </w:p>
    <w:p xmlns:wp14="http://schemas.microsoft.com/office/word/2010/wordml" w14:paraId="115155E0" wp14:textId="1AD71F64">
      <w:r w:rsidRPr="6D575033" w:rsidR="3111BC14">
        <w:rPr>
          <w:rFonts w:ascii="Calibri" w:hAnsi="Calibri" w:eastAsia="Calibri" w:cs="Calibri"/>
          <w:noProof w:val="0"/>
          <w:sz w:val="22"/>
          <w:szCs w:val="22"/>
          <w:lang w:val="en-US"/>
        </w:rPr>
        <w:t xml:space="preserve">The CPUC and CEC could consider coordinating with all LSEs on an interregional planning document for MDHD electrification. Or the CPUC and CEC could potentially coordinate with Caltrans on its next </w:t>
      </w:r>
      <w:hyperlink r:id="R241041edcade4f43">
        <w:r w:rsidRPr="6D575033" w:rsidR="3111BC14">
          <w:rPr>
            <w:rStyle w:val="Hyperlink"/>
            <w:rFonts w:ascii="Calibri" w:hAnsi="Calibri" w:eastAsia="Calibri" w:cs="Calibri"/>
            <w:strike w:val="0"/>
            <w:dstrike w:val="0"/>
            <w:noProof w:val="0"/>
            <w:sz w:val="22"/>
            <w:szCs w:val="22"/>
            <w:lang w:val="en-US"/>
          </w:rPr>
          <w:t>Interregional Transportation Strategic Plan</w:t>
        </w:r>
      </w:hyperlink>
      <w:r w:rsidRPr="6D575033" w:rsidR="3111BC14">
        <w:rPr>
          <w:rFonts w:ascii="Calibri" w:hAnsi="Calibri" w:eastAsia="Calibri" w:cs="Calibri"/>
          <w:noProof w:val="0"/>
          <w:sz w:val="22"/>
          <w:szCs w:val="22"/>
          <w:lang w:val="en-US"/>
        </w:rPr>
        <w:t xml:space="preserve"> (ITSP). The ITSP provides an interregional policy framework to guide Caltrans and partner agencies during the development of comprehensive, multimodal corridor plans that lead to the identification of transformative, innovative, and cost-effective projects. The ITSP aligns with key state transportation plans and establishes criteria for prioritizing transportation investments that safely move people and goods between regions, and the Interregional Transportation Improvement Program (ITIP) will benefit from an increased focus on interregional transportation electrification planning. ITIP scoring criteria could be expanded to include project alignment with statewide infrastructure plans developed by the CPUC. LSEs, therefore, would be incentivized to participate in statewide coordination.</w:t>
      </w:r>
    </w:p>
    <w:p xmlns:wp14="http://schemas.microsoft.com/office/word/2010/wordml" w:rsidP="6D575033" w14:paraId="71F34D48" wp14:textId="6AEE54CC">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9. To what extent is MDHD electrification dependent on domestic/international borders being electrified concurrently? </w:t>
      </w:r>
    </w:p>
    <w:p xmlns:wp14="http://schemas.microsoft.com/office/word/2010/wordml" w14:paraId="233F58E4" wp14:textId="7864FDB6">
      <w:r w:rsidRPr="6D575033" w:rsidR="3111BC14">
        <w:rPr>
          <w:rFonts w:ascii="Calibri" w:hAnsi="Calibri" w:eastAsia="Calibri" w:cs="Calibri"/>
          <w:noProof w:val="0"/>
          <w:sz w:val="22"/>
          <w:szCs w:val="22"/>
          <w:lang w:val="en-US"/>
        </w:rPr>
        <w:t xml:space="preserve">MDHD electrification is critically dependent on concurrent electrification of domestic and international borders. SANDAG, Caltrans, and Imperial County Transportation Commission (ICTC) collaborated on the development of a white paper that addresses the </w:t>
      </w:r>
      <w:hyperlink r:id="Rb0fa35cfc99d48ab">
        <w:r w:rsidRPr="6D575033" w:rsidR="3111BC14">
          <w:rPr>
            <w:rStyle w:val="Hyperlink"/>
            <w:rFonts w:ascii="Calibri" w:hAnsi="Calibri" w:eastAsia="Calibri" w:cs="Calibri"/>
            <w:strike w:val="0"/>
            <w:dstrike w:val="0"/>
            <w:noProof w:val="0"/>
            <w:sz w:val="22"/>
            <w:szCs w:val="22"/>
            <w:lang w:val="en-US"/>
          </w:rPr>
          <w:t>Zero Emission Freight Transition at the California-Baja California Border</w:t>
        </w:r>
      </w:hyperlink>
      <w:r w:rsidRPr="6D575033" w:rsidR="3111BC14">
        <w:rPr>
          <w:rFonts w:ascii="Calibri" w:hAnsi="Calibri" w:eastAsia="Calibri" w:cs="Calibri"/>
          <w:noProof w:val="0"/>
          <w:sz w:val="22"/>
          <w:szCs w:val="22"/>
          <w:lang w:val="en-US"/>
        </w:rPr>
        <w:t xml:space="preserve">. Much of the goods movement across the California-Baja California border is conducted by Mexican-based, cross-border “drayage” or shuttle companies. Although not considered drayage operations under CARB definitions as outlined in the Advanced Clean Fleets regulation, these operations could be feasibly accomplished using electric trucks, similar to maritime drayage operations, if electric charging infrastructure were available on both sides of the border. Not only would this bring immediate air quality benefits for nearby communities, but it would also enable the continuous operation and expansion of regional contributions to international supply chains through California-based manufacturers, distributors, terminal operators, and carriers. </w:t>
      </w:r>
    </w:p>
    <w:p xmlns:wp14="http://schemas.microsoft.com/office/word/2010/wordml" w:rsidP="6D575033" w14:paraId="436CC322" wp14:textId="15C88418">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10. If all the high priority corridors can’t be electrified simultaneously, what is the process for establishing a sequence of electrification while ensuring fleet needs are being addressed? How should issues like equity and air quality be used to establish the sequence of electrification? </w:t>
      </w:r>
    </w:p>
    <w:p xmlns:wp14="http://schemas.microsoft.com/office/word/2010/wordml" w14:paraId="10062CB1" wp14:textId="3B12F5A9">
      <w:r w:rsidRPr="6D575033" w:rsidR="3111BC14">
        <w:rPr>
          <w:rFonts w:ascii="Calibri" w:hAnsi="Calibri" w:eastAsia="Calibri" w:cs="Calibri"/>
          <w:noProof w:val="0"/>
          <w:sz w:val="22"/>
          <w:szCs w:val="22"/>
          <w:lang w:val="en-US"/>
        </w:rPr>
        <w:t xml:space="preserve">Evaluating the sequence of electrification with multiple criteria would be appropriate. The sequence should take into consideration the minimum viable network as established by the California Transportation Commission’s SB 671 Clean Freight Corridor Assessment that acknowledges truck volumes along corridors as well as important freight facilities, such as commercial and international ports of entry, marine ports, and intermodal yards. The sequence should also consider equity as determined by a common measurement system such as CalEnviroScreen, and air quality as determined by the presence of AB 617 communities. </w:t>
      </w:r>
    </w:p>
    <w:p xmlns:wp14="http://schemas.microsoft.com/office/word/2010/wordml" w:rsidP="6D575033" w14:paraId="0A150306" wp14:textId="31D64316">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13. There are significant interactive effects between transportation electrification, building electrification, electric sector decarbonization, grid hardening, and affordability that are currently not being captured in planning. What additional process is needed to ensure that FIP captures these interactive effects and the potential tradeoffs that need to be considered? </w:t>
      </w:r>
    </w:p>
    <w:p xmlns:wp14="http://schemas.microsoft.com/office/word/2010/wordml" w14:paraId="6876E8DB" wp14:textId="72F77A76">
      <w:r w:rsidRPr="6D575033" w:rsidR="3111BC14">
        <w:rPr>
          <w:rFonts w:ascii="Calibri" w:hAnsi="Calibri" w:eastAsia="Calibri" w:cs="Calibri"/>
          <w:noProof w:val="0"/>
          <w:sz w:val="22"/>
          <w:szCs w:val="22"/>
          <w:lang w:val="en-US"/>
        </w:rPr>
        <w:t xml:space="preserve">The CEC’s IEPR proceedings could be a planning mechanism for identifying and considering interagency policies to address the interactive nature of building and transportation electrification, decarbonization, equity and other factors.  </w:t>
      </w:r>
    </w:p>
    <w:p xmlns:wp14="http://schemas.microsoft.com/office/word/2010/wordml" w:rsidP="6D575033" w14:paraId="3DD365EB" wp14:textId="5EA4CCC3">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14. How should climate adaptation strategies be integrated into the FIP framework and associated inputs? What process alignment with other proceedings, initiatives, studies is needed to ensure that climate adaptation strategies are considered in a coordinated manner within FIP and across proceedings/sister agencies? </w:t>
      </w:r>
    </w:p>
    <w:p xmlns:wp14="http://schemas.microsoft.com/office/word/2010/wordml" w14:paraId="41749608" wp14:textId="7560C188">
      <w:r w:rsidRPr="6D575033" w:rsidR="3111BC14">
        <w:rPr>
          <w:rFonts w:ascii="Calibri" w:hAnsi="Calibri" w:eastAsia="Calibri" w:cs="Calibri"/>
          <w:noProof w:val="0"/>
          <w:sz w:val="22"/>
          <w:szCs w:val="22"/>
          <w:lang w:val="en-US"/>
        </w:rPr>
        <w:t>SANDAG is considering climate adaptation in the development of our 2025 Regional Plan, and we anticipate developing strategies informed by state and federal data sources such as Cal-Adapt, Cal Fire, California Coastal Commission, FEMA, NOAA, U.S. Geological Survey, and others. We also recommend aligning with Caltrans district climate vulnerability assessments.</w:t>
      </w:r>
    </w:p>
    <w:p xmlns:wp14="http://schemas.microsoft.com/office/word/2010/wordml" w:rsidP="6D575033" w14:paraId="09223164" wp14:textId="5750FAA6">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18. Caltrans and the CTC have their own established state transportation planning processes (e.g., SB 671 assessment). What process alignment is required to align CPUC/CEC and CTC/Caltrans TE-related forecasting and planning efforts? </w:t>
      </w:r>
    </w:p>
    <w:p xmlns:wp14="http://schemas.microsoft.com/office/word/2010/wordml" w14:paraId="00C3BEFA" wp14:textId="30B648E9">
      <w:r w:rsidRPr="6D575033" w:rsidR="3111BC14">
        <w:rPr>
          <w:rFonts w:ascii="Calibri" w:hAnsi="Calibri" w:eastAsia="Calibri" w:cs="Calibri"/>
          <w:noProof w:val="0"/>
          <w:sz w:val="22"/>
          <w:szCs w:val="22"/>
          <w:lang w:val="en-US"/>
        </w:rPr>
        <w:t xml:space="preserve">CPUC and CEC should consider Caltrans’ California Statewide Freight Forecasting Model (CSFFM) and any planned updates to transportation modal plans, such as the California Freight Mobility Plan. The frequency of forecast changes in freight-intensive land use and commercial vehicle travel facilitated by freight investments documented in state-level plans, as well as federal models like Freight Analysis Framework, should be considered when determining long-range transportation electrification needs. </w:t>
      </w:r>
    </w:p>
    <w:p xmlns:wp14="http://schemas.microsoft.com/office/word/2010/wordml" w:rsidP="6D575033" w14:paraId="569A884B" wp14:textId="11C4C91D">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 xml:space="preserve">19. The CEC’s IEPR TE demand forecast does not consider whether the electrical infrastructure needed to support TE adoption will be available per the compliance timelines stipulated in the ACF. To what extent should the IEPR process consider input from a grid readiness assessment developed in FIP that highlights potential infrastructure timing delays and other related uncertainties? </w:t>
      </w:r>
    </w:p>
    <w:p xmlns:wp14="http://schemas.microsoft.com/office/word/2010/wordml" w14:paraId="2369CF29" wp14:textId="485ECC02">
      <w:r w:rsidRPr="6D575033" w:rsidR="3111BC14">
        <w:rPr>
          <w:rFonts w:ascii="Calibri" w:hAnsi="Calibri" w:eastAsia="Calibri" w:cs="Calibri"/>
          <w:noProof w:val="0"/>
          <w:sz w:val="22"/>
          <w:szCs w:val="22"/>
          <w:lang w:val="en-US"/>
        </w:rPr>
        <w:t xml:space="preserve">The CPUC should share FIP analysis and results with the CEC IEPR so that grid readiness delays can be recognized, and potential policy and resource solutions can be identified to mitigate problems. </w:t>
      </w:r>
    </w:p>
    <w:p xmlns:wp14="http://schemas.microsoft.com/office/word/2010/wordml" w:rsidP="6D575033" w14:paraId="416E9531" wp14:textId="67EE3E72">
      <w:pPr>
        <w:rPr>
          <w:rFonts w:ascii="Calibri" w:hAnsi="Calibri" w:eastAsia="Calibri" w:cs="Calibri"/>
          <w:b w:val="1"/>
          <w:bCs w:val="1"/>
          <w:noProof w:val="0"/>
          <w:sz w:val="22"/>
          <w:szCs w:val="22"/>
          <w:lang w:val="en-US"/>
        </w:rPr>
      </w:pPr>
      <w:r w:rsidRPr="6D575033" w:rsidR="3111BC14">
        <w:rPr>
          <w:rFonts w:ascii="Calibri" w:hAnsi="Calibri" w:eastAsia="Calibri" w:cs="Calibri"/>
          <w:b w:val="1"/>
          <w:bCs w:val="1"/>
          <w:noProof w:val="0"/>
          <w:sz w:val="22"/>
          <w:szCs w:val="22"/>
          <w:lang w:val="en-US"/>
        </w:rPr>
        <w:t>25. Currently, there is no linkage between planned distribution/transmission infrastructure investments and the federal/state funding available for charging infrastructure. To what extent should charging infrastructure associated with optimal distribution/transmission upgrades be subsidized using federal/state funds set aside for charging infrastructure? What would be the process for sending this investment signal to charger providers while avoiding market power issues and charger site speculation?</w:t>
      </w:r>
    </w:p>
    <w:p xmlns:wp14="http://schemas.microsoft.com/office/word/2010/wordml" w14:paraId="63F49ACC" wp14:textId="323B4B8C">
      <w:r w:rsidRPr="6D575033" w:rsidR="3111BC14">
        <w:rPr>
          <w:rFonts w:ascii="Calibri" w:hAnsi="Calibri" w:eastAsia="Calibri" w:cs="Calibri"/>
          <w:noProof w:val="0"/>
          <w:sz w:val="22"/>
          <w:szCs w:val="22"/>
          <w:lang w:val="en-US"/>
        </w:rPr>
        <w:t xml:space="preserve">It would be appropriate to split investments in charging infrastructure between areas identified as optimal based on distribution/transmission upgrades and existing freight routes and areas that may be harder to reach but are supported by equity-based coverage goals. Investing a majority of state and federal funds for charging infrastructure in easy-to-electrify and broadly useful areas would make efficient use of public dollars and support speedy conversion of many MDHD vehicles to zero-emissions. However, hard-to-electrify areas may be prioritized if communities there are especially impacted by existing fossil-fueled MDHD fleets and would benefit most from emissions reductions. This is especially relevant for the AB 617 International Border Community, comprising the San Ysidro and Otay Mesa areas of San Diego, which is impacted by air pollution from vehicles idling at the border. Providing transportation electrification infrastructure to support commercial vehicle operations in this border region, even if it may be considered a hard-to-electrify area, is essential for converting fleets to zero-emission technologies and achieving equitable outcomes for the community. SANDAG would encourage that state and federal funding programs be designed with these concepts of both efficient fleet transitions and equity in mind. </w:t>
      </w:r>
    </w:p>
    <w:p xmlns:wp14="http://schemas.microsoft.com/office/word/2010/wordml" w14:paraId="23A08CF7" wp14:textId="12EEEEA6">
      <w:r w:rsidRPr="6D575033" w:rsidR="3111BC14">
        <w:rPr>
          <w:rFonts w:ascii="Calibri" w:hAnsi="Calibri" w:eastAsia="Calibri" w:cs="Calibri"/>
          <w:noProof w:val="0"/>
          <w:sz w:val="22"/>
          <w:szCs w:val="22"/>
          <w:lang w:val="en-US"/>
        </w:rPr>
        <w:t xml:space="preserve"> </w:t>
      </w:r>
    </w:p>
    <w:p xmlns:wp14="http://schemas.microsoft.com/office/word/2010/wordml" w14:paraId="301CFF9C" wp14:textId="6801DBB8">
      <w:r w:rsidRPr="6D575033" w:rsidR="3111BC14">
        <w:rPr>
          <w:rFonts w:ascii="Calibri" w:hAnsi="Calibri" w:eastAsia="Calibri" w:cs="Calibri"/>
          <w:noProof w:val="0"/>
          <w:sz w:val="22"/>
          <w:szCs w:val="22"/>
          <w:lang w:val="en-US"/>
        </w:rPr>
        <w:t>For any follow up questions, please feel free to contact me.</w:t>
      </w:r>
    </w:p>
    <w:p xmlns:wp14="http://schemas.microsoft.com/office/word/2010/wordml" w:rsidP="6D575033" w14:paraId="2C078E63" wp14:textId="4B7216F5">
      <w:pPr>
        <w:pStyle w:val="Normal"/>
      </w:pPr>
    </w:p>
    <w:p w:rsidR="3283F254" w:rsidRDefault="3283F254" w14:paraId="6ED21280" w14:textId="0FA5FF2C">
      <w:r w:rsidRPr="6D575033" w:rsidR="3283F254">
        <w:rPr>
          <w:rFonts w:ascii="Calibri" w:hAnsi="Calibri" w:eastAsia="Calibri" w:cs="Calibri"/>
          <w:noProof w:val="0"/>
          <w:sz w:val="22"/>
          <w:szCs w:val="22"/>
          <w:lang w:val="en-US"/>
        </w:rPr>
        <w:t>Best,</w:t>
      </w:r>
    </w:p>
    <w:p w:rsidR="3283F254" w:rsidP="6D575033" w:rsidRDefault="3283F254" w14:paraId="69694A8D" w14:textId="477EB55A">
      <w:pPr>
        <w:spacing w:line="276" w:lineRule="auto"/>
      </w:pPr>
      <w:r w:rsidRPr="6D575033" w:rsidR="3283F254">
        <w:rPr>
          <w:rFonts w:ascii="Arial" w:hAnsi="Arial" w:eastAsia="Arial" w:cs="Arial"/>
          <w:b w:val="1"/>
          <w:bCs w:val="1"/>
          <w:noProof w:val="0"/>
          <w:color w:val="5D5D5E"/>
          <w:sz w:val="22"/>
          <w:szCs w:val="22"/>
          <w:lang w:val="en-US"/>
        </w:rPr>
        <w:t>Tim Garrett</w:t>
      </w:r>
      <w:r w:rsidRPr="6D575033" w:rsidR="3283F254">
        <w:rPr>
          <w:rFonts w:ascii="Arial" w:hAnsi="Arial" w:eastAsia="Arial" w:cs="Arial"/>
          <w:noProof w:val="0"/>
          <w:color w:val="5D5D5E"/>
          <w:sz w:val="18"/>
          <w:szCs w:val="18"/>
          <w:lang w:val="en-US"/>
        </w:rPr>
        <w:t xml:space="preserve"> (he/him/his)</w:t>
      </w:r>
    </w:p>
    <w:p w:rsidR="3283F254" w:rsidP="6D575033" w:rsidRDefault="3283F254" w14:paraId="3404D5FB" w14:textId="3631DEB9">
      <w:pPr>
        <w:spacing w:line="276" w:lineRule="auto"/>
      </w:pPr>
      <w:r w:rsidRPr="6D575033" w:rsidR="3283F254">
        <w:rPr>
          <w:rFonts w:ascii="Arial" w:hAnsi="Arial" w:eastAsia="Arial" w:cs="Arial"/>
          <w:noProof w:val="0"/>
          <w:color w:val="5D5D5E"/>
          <w:sz w:val="18"/>
          <w:szCs w:val="18"/>
          <w:lang w:val="en-US"/>
        </w:rPr>
        <w:t>Regional Planner II</w:t>
      </w:r>
    </w:p>
    <w:p w:rsidR="6D575033" w:rsidP="6D575033" w:rsidRDefault="6D575033" w14:paraId="43F1FE4E" w14:textId="1D36BDC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F2F17E"/>
    <w:rsid w:val="0BD68C90"/>
    <w:rsid w:val="22F2F17E"/>
    <w:rsid w:val="3111BC14"/>
    <w:rsid w:val="3283F254"/>
    <w:rsid w:val="359E3BDF"/>
    <w:rsid w:val="6D575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04436"/>
  <w15:chartTrackingRefBased/>
  <w15:docId w15:val="{AF5D5E4F-2DEB-4DAE-A8B2-68FE2740B5C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b0fa35cfc99d48ab" Type="http://schemas.openxmlformats.org/officeDocument/2006/relationships/hyperlink" Target="https://www.sandag.org/-/media/SANDAG/Documents/PDF/projects-and-programs/goods-movement-planning/whitepaper-zero-emission-freight-california-baja-border.pdf" TargetMode="External"/><Relationship Id="rId7" Type="http://schemas.openxmlformats.org/officeDocument/2006/relationships/customXml" Target="../customXml/item2.xml"/><Relationship Id="rId2" Type="http://schemas.openxmlformats.org/officeDocument/2006/relationships/settings" Target="settings.xml"/><Relationship Id="Rb75282ab674b4455" Type="http://schemas.openxmlformats.org/officeDocument/2006/relationships/hyperlink" Target="https://www.sandag.org/projects-and-programs/innovative-mobility/clean-transportation/regional-medium-duty-and-heavy-duty-ZEV-blueprint" TargetMode="Externa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241041edcade4f43" Type="http://schemas.openxmlformats.org/officeDocument/2006/relationships/hyperlink" Target="https://dot.ca.gov/programs/transportation-planning/division-of-transportation-planning/multi-modal-system-planning"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9EA1C1F202B40AA7A5BF6CB2A61E3" ma:contentTypeVersion="13" ma:contentTypeDescription="Create a new document." ma:contentTypeScope="" ma:versionID="af495a68a95cc3d79e36574ceb8507c3">
  <xsd:schema xmlns:xsd="http://www.w3.org/2001/XMLSchema" xmlns:xs="http://www.w3.org/2001/XMLSchema" xmlns:p="http://schemas.microsoft.com/office/2006/metadata/properties" xmlns:ns2="520f37f0-40c3-47f1-8332-17031bb3f433" xmlns:ns3="f045a637-3cdd-4f4b-b16c-de55dd2e1607" targetNamespace="http://schemas.microsoft.com/office/2006/metadata/properties" ma:root="true" ma:fieldsID="14e8f3123eeb1caf8e5365efb6e06b98" ns2:_="" ns3:_="">
    <xsd:import namespace="520f37f0-40c3-47f1-8332-17031bb3f433"/>
    <xsd:import namespace="f045a637-3cdd-4f4b-b16c-de55dd2e16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f37f0-40c3-47f1-8332-17031bb3f4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45a637-3cdd-4f4b-b16c-de55dd2e160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f53a49c-f3ac-4549-a5a1-e4162537ce55}" ma:internalName="TaxCatchAll" ma:showField="CatchAllData" ma:web="f045a637-3cdd-4f4b-b16c-de55dd2e16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45a637-3cdd-4f4b-b16c-de55dd2e1607" xsi:nil="true"/>
    <lcf76f155ced4ddcb4097134ff3c332f xmlns="520f37f0-40c3-47f1-8332-17031bb3f4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D8D822-8534-4565-92C0-351E1BDA7B58}"/>
</file>

<file path=customXml/itemProps2.xml><?xml version="1.0" encoding="utf-8"?>
<ds:datastoreItem xmlns:ds="http://schemas.openxmlformats.org/officeDocument/2006/customXml" ds:itemID="{D77501E1-658B-4619-BB3D-65FDDCFA0FDC}"/>
</file>

<file path=customXml/itemProps3.xml><?xml version="1.0" encoding="utf-8"?>
<ds:datastoreItem xmlns:ds="http://schemas.openxmlformats.org/officeDocument/2006/customXml" ds:itemID="{A0EFEE16-8BEA-49F5-B4B0-C5CDFA8224F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Clayton, Emily</dc:creator>
  <cp:keywords/>
  <dc:description/>
  <cp:lastModifiedBy>Clayton, Emily</cp:lastModifiedBy>
  <dcterms:created xsi:type="dcterms:W3CDTF">2023-07-21T21:31:19Z</dcterms:created>
  <dcterms:modified xsi:type="dcterms:W3CDTF">2023-07-21T21:34:26Z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0x0101006179EA1C1F202B40AA7A5BF6CB2A61E3</vt:lpwstr>
  </property>
</Properties>
</file>